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920" w:rsidRPr="00366C8E" w:rsidRDefault="00952920" w:rsidP="00952920">
      <w:pPr>
        <w:pStyle w:val="Heading1"/>
        <w:spacing w:line="360" w:lineRule="auto"/>
        <w:rPr>
          <w:rFonts w:ascii="Times New Roman" w:eastAsia="Times New Roman" w:hAnsi="Times New Roman" w:cs="Times New Roman"/>
          <w:color w:val="000000"/>
          <w:sz w:val="20"/>
          <w:szCs w:val="20"/>
        </w:rPr>
      </w:pPr>
      <w:r w:rsidRPr="00366C8E">
        <w:rPr>
          <w:rFonts w:ascii="Times New Roman" w:eastAsia="Times New Roman" w:hAnsi="Times New Roman" w:cs="Times New Roman"/>
          <w:color w:val="000000"/>
          <w:sz w:val="20"/>
          <w:szCs w:val="20"/>
        </w:rPr>
        <w:t>Model sensitivity and nonlinear interactions during extreme sea level events in a wide and fast-flowing estuary: the case of the Río de la Plata</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ES"/>
        </w:rPr>
      </w:pPr>
      <w:r w:rsidRPr="00366C8E">
        <w:rPr>
          <w:rFonts w:ascii="Times New Roman" w:eastAsia="Times New Roman" w:hAnsi="Times New Roman" w:cs="Times New Roman"/>
          <w:sz w:val="20"/>
          <w:szCs w:val="20"/>
          <w:lang w:val="es-ES"/>
        </w:rPr>
        <w:t xml:space="preserve">Matías G. </w:t>
      </w:r>
      <w:proofErr w:type="spellStart"/>
      <w:proofErr w:type="gramStart"/>
      <w:r w:rsidRPr="00366C8E">
        <w:rPr>
          <w:rFonts w:ascii="Times New Roman" w:eastAsia="Times New Roman" w:hAnsi="Times New Roman" w:cs="Times New Roman"/>
          <w:sz w:val="20"/>
          <w:szCs w:val="20"/>
          <w:lang w:val="es-ES"/>
        </w:rPr>
        <w:t>Dinapoli</w:t>
      </w:r>
      <w:proofErr w:type="spellEnd"/>
      <w:r w:rsidRPr="00366C8E">
        <w:rPr>
          <w:rFonts w:ascii="Times New Roman" w:eastAsia="Times New Roman" w:hAnsi="Times New Roman" w:cs="Times New Roman"/>
          <w:sz w:val="20"/>
          <w:szCs w:val="20"/>
          <w:vertAlign w:val="superscript"/>
          <w:lang w:val="es-ES"/>
        </w:rPr>
        <w:t>(</w:t>
      </w:r>
      <w:proofErr w:type="gramEnd"/>
      <w:r w:rsidRPr="00366C8E">
        <w:rPr>
          <w:rFonts w:ascii="Times New Roman" w:eastAsia="Times New Roman" w:hAnsi="Times New Roman" w:cs="Times New Roman"/>
          <w:sz w:val="20"/>
          <w:szCs w:val="20"/>
          <w:vertAlign w:val="superscript"/>
          <w:lang w:val="es-ES"/>
        </w:rPr>
        <w:t>*)(1,2)</w:t>
      </w:r>
      <w:r w:rsidRPr="00366C8E">
        <w:rPr>
          <w:rFonts w:ascii="Times New Roman" w:eastAsia="Times New Roman" w:hAnsi="Times New Roman" w:cs="Times New Roman"/>
          <w:sz w:val="20"/>
          <w:szCs w:val="20"/>
          <w:lang w:val="es-ES"/>
        </w:rPr>
        <w:t xml:space="preserve">, Claudia G. </w:t>
      </w:r>
      <w:proofErr w:type="spellStart"/>
      <w:r w:rsidRPr="00366C8E">
        <w:rPr>
          <w:rFonts w:ascii="Times New Roman" w:eastAsia="Times New Roman" w:hAnsi="Times New Roman" w:cs="Times New Roman"/>
          <w:sz w:val="20"/>
          <w:szCs w:val="20"/>
          <w:lang w:val="es-ES"/>
        </w:rPr>
        <w:t>Simionato</w:t>
      </w:r>
      <w:proofErr w:type="spellEnd"/>
      <w:r w:rsidRPr="00366C8E">
        <w:rPr>
          <w:rFonts w:ascii="Times New Roman" w:eastAsia="Times New Roman" w:hAnsi="Times New Roman" w:cs="Times New Roman"/>
          <w:sz w:val="20"/>
          <w:szCs w:val="20"/>
          <w:vertAlign w:val="superscript"/>
          <w:lang w:val="es-ES"/>
        </w:rPr>
        <w:t>(1,2)</w:t>
      </w:r>
      <w:r w:rsidRPr="00366C8E">
        <w:rPr>
          <w:rFonts w:ascii="Times New Roman" w:eastAsia="Times New Roman" w:hAnsi="Times New Roman" w:cs="Times New Roman"/>
          <w:sz w:val="20"/>
          <w:szCs w:val="20"/>
          <w:lang w:val="es-ES"/>
        </w:rPr>
        <w:t xml:space="preserve"> and Diego Moreira</w:t>
      </w:r>
      <w:r w:rsidRPr="00366C8E">
        <w:rPr>
          <w:rFonts w:ascii="Times New Roman" w:eastAsia="Times New Roman" w:hAnsi="Times New Roman" w:cs="Times New Roman"/>
          <w:sz w:val="20"/>
          <w:szCs w:val="20"/>
          <w:vertAlign w:val="superscript"/>
          <w:lang w:val="es-ES"/>
        </w:rPr>
        <w:t>(1,2,3)</w:t>
      </w:r>
    </w:p>
    <w:p w:rsidR="00952920" w:rsidRPr="00366C8E" w:rsidRDefault="00952920" w:rsidP="00952920">
      <w:pPr>
        <w:pStyle w:val="LO-normal"/>
        <w:widowControl w:val="0"/>
        <w:spacing w:line="360" w:lineRule="auto"/>
        <w:ind w:left="360"/>
        <w:jc w:val="both"/>
        <w:rPr>
          <w:rFonts w:ascii="Times New Roman" w:eastAsia="Times New Roman" w:hAnsi="Times New Roman" w:cs="Times New Roman"/>
          <w:sz w:val="18"/>
          <w:szCs w:val="18"/>
          <w:lang w:val="es-AR"/>
        </w:rPr>
      </w:pPr>
      <w:r w:rsidRPr="00366C8E">
        <w:rPr>
          <w:rFonts w:ascii="Times New Roman" w:eastAsia="Times New Roman" w:hAnsi="Times New Roman" w:cs="Times New Roman"/>
          <w:sz w:val="18"/>
          <w:szCs w:val="18"/>
          <w:vertAlign w:val="superscript"/>
          <w:lang w:val="es-AR"/>
        </w:rPr>
        <w:t xml:space="preserve">(1) </w:t>
      </w:r>
      <w:r w:rsidRPr="00366C8E">
        <w:rPr>
          <w:rFonts w:ascii="Times New Roman" w:eastAsia="Times New Roman" w:hAnsi="Times New Roman" w:cs="Times New Roman"/>
          <w:sz w:val="18"/>
          <w:szCs w:val="18"/>
          <w:lang w:val="es-AR"/>
        </w:rPr>
        <w:t>Centro de Investigaciones del Mar y la Atmósfera (CIMA/CONICET-UBA)</w:t>
      </w:r>
    </w:p>
    <w:p w:rsidR="00952920" w:rsidRPr="00366C8E" w:rsidRDefault="00952920" w:rsidP="00952920">
      <w:pPr>
        <w:pStyle w:val="LO-normal"/>
        <w:widowControl w:val="0"/>
        <w:spacing w:line="360" w:lineRule="auto"/>
        <w:ind w:left="360"/>
        <w:jc w:val="both"/>
        <w:rPr>
          <w:rFonts w:ascii="Times New Roman" w:eastAsia="Times New Roman" w:hAnsi="Times New Roman" w:cs="Times New Roman"/>
          <w:sz w:val="18"/>
          <w:szCs w:val="18"/>
          <w:lang w:val="es-AR"/>
        </w:rPr>
      </w:pPr>
      <w:r w:rsidRPr="00366C8E">
        <w:rPr>
          <w:rFonts w:ascii="Times New Roman" w:eastAsia="Times New Roman" w:hAnsi="Times New Roman" w:cs="Times New Roman"/>
          <w:sz w:val="18"/>
          <w:szCs w:val="18"/>
          <w:vertAlign w:val="superscript"/>
          <w:lang w:val="es-AR"/>
        </w:rPr>
        <w:t>(2)</w:t>
      </w:r>
      <w:r w:rsidRPr="00366C8E">
        <w:rPr>
          <w:rFonts w:ascii="Times New Roman" w:eastAsia="Times New Roman" w:hAnsi="Times New Roman" w:cs="Times New Roman"/>
          <w:sz w:val="18"/>
          <w:szCs w:val="18"/>
          <w:lang w:val="es-AR"/>
        </w:rPr>
        <w:t xml:space="preserve"> Instituto Franco-Argentino para el Estudio del Clima y sus Impactos (UMI IFAECI/CNRS-CONICET-UBA)</w:t>
      </w:r>
    </w:p>
    <w:p w:rsidR="00952920" w:rsidRPr="00366C8E" w:rsidRDefault="00952920" w:rsidP="00952920">
      <w:pPr>
        <w:pStyle w:val="LO-normal"/>
        <w:widowControl w:val="0"/>
        <w:spacing w:line="360" w:lineRule="auto"/>
        <w:ind w:left="360"/>
        <w:jc w:val="both"/>
        <w:rPr>
          <w:rFonts w:ascii="Times New Roman" w:eastAsia="Times New Roman" w:hAnsi="Times New Roman" w:cs="Times New Roman"/>
          <w:sz w:val="18"/>
          <w:szCs w:val="18"/>
          <w:lang w:val="es-AR"/>
        </w:rPr>
      </w:pPr>
      <w:r w:rsidRPr="00366C8E">
        <w:rPr>
          <w:rFonts w:ascii="Times New Roman" w:eastAsia="Times New Roman" w:hAnsi="Times New Roman" w:cs="Times New Roman"/>
          <w:sz w:val="18"/>
          <w:szCs w:val="18"/>
          <w:vertAlign w:val="superscript"/>
          <w:lang w:val="es-AR"/>
        </w:rPr>
        <w:t>(3)</w:t>
      </w:r>
      <w:r w:rsidRPr="00366C8E">
        <w:rPr>
          <w:rFonts w:ascii="Times New Roman" w:eastAsia="Times New Roman" w:hAnsi="Times New Roman" w:cs="Times New Roman"/>
          <w:sz w:val="18"/>
          <w:szCs w:val="18"/>
          <w:lang w:val="es-AR"/>
        </w:rPr>
        <w:t xml:space="preserve"> Departamento de Ciencias de la Atmósfera y los Océanos, FCEN, Universidad de Buenos Aires, Argentina.</w:t>
      </w: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ES"/>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ES"/>
        </w:rPr>
      </w:pPr>
    </w:p>
    <w:p w:rsidR="00952920" w:rsidRPr="003B60DA" w:rsidRDefault="00952920" w:rsidP="00952920">
      <w:pPr>
        <w:pStyle w:val="LO-normal"/>
        <w:spacing w:line="360" w:lineRule="auto"/>
        <w:jc w:val="both"/>
        <w:rPr>
          <w:rFonts w:ascii="Times New Roman" w:eastAsia="Times New Roman" w:hAnsi="Times New Roman" w:cs="Times New Roman"/>
          <w:sz w:val="20"/>
          <w:szCs w:val="20"/>
          <w:lang w:val="es-ES"/>
        </w:rPr>
      </w:pPr>
      <w:r w:rsidRPr="00366C8E">
        <w:rPr>
          <w:rFonts w:ascii="Times New Roman" w:eastAsia="Times New Roman" w:hAnsi="Times New Roman" w:cs="Times New Roman"/>
          <w:sz w:val="20"/>
          <w:szCs w:val="20"/>
          <w:lang w:val="es-ES"/>
        </w:rPr>
        <w:t xml:space="preserve">(*) </w:t>
      </w:r>
      <w:proofErr w:type="spellStart"/>
      <w:r w:rsidRPr="003B60DA">
        <w:rPr>
          <w:rFonts w:ascii="Times New Roman" w:eastAsia="Times New Roman" w:hAnsi="Times New Roman" w:cs="Times New Roman"/>
          <w:sz w:val="20"/>
          <w:szCs w:val="20"/>
          <w:lang w:val="es-ES"/>
        </w:rPr>
        <w:t>Corresponding</w:t>
      </w:r>
      <w:proofErr w:type="spellEnd"/>
      <w:r w:rsidRPr="003B60DA">
        <w:rPr>
          <w:rFonts w:ascii="Times New Roman" w:eastAsia="Times New Roman" w:hAnsi="Times New Roman" w:cs="Times New Roman"/>
          <w:sz w:val="20"/>
          <w:szCs w:val="20"/>
          <w:lang w:val="es-ES"/>
        </w:rPr>
        <w:t xml:space="preserve"> </w:t>
      </w:r>
      <w:proofErr w:type="spellStart"/>
      <w:r w:rsidRPr="003B60DA">
        <w:rPr>
          <w:rFonts w:ascii="Times New Roman" w:eastAsia="Times New Roman" w:hAnsi="Times New Roman" w:cs="Times New Roman"/>
          <w:sz w:val="20"/>
          <w:szCs w:val="20"/>
          <w:lang w:val="es-ES"/>
        </w:rPr>
        <w:t>author</w:t>
      </w:r>
      <w:proofErr w:type="spellEnd"/>
      <w:r w:rsidRPr="003B60DA">
        <w:rPr>
          <w:rFonts w:ascii="Times New Roman" w:eastAsia="Times New Roman" w:hAnsi="Times New Roman" w:cs="Times New Roman"/>
          <w:sz w:val="20"/>
          <w:szCs w:val="20"/>
          <w:lang w:val="es-ES"/>
        </w:rPr>
        <w:t xml:space="preserve">: </w:t>
      </w: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AR"/>
        </w:rPr>
      </w:pPr>
      <w:r w:rsidRPr="00366C8E">
        <w:rPr>
          <w:rFonts w:ascii="Times New Roman" w:eastAsia="Times New Roman" w:hAnsi="Times New Roman" w:cs="Times New Roman"/>
          <w:sz w:val="20"/>
          <w:szCs w:val="20"/>
          <w:lang w:val="es-AR"/>
        </w:rPr>
        <w:t>Intendente Güiraldes 2160 - Ciudad Universitaria</w:t>
      </w: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AR"/>
        </w:rPr>
      </w:pPr>
      <w:r w:rsidRPr="00366C8E">
        <w:rPr>
          <w:rFonts w:ascii="Times New Roman" w:eastAsia="Times New Roman" w:hAnsi="Times New Roman" w:cs="Times New Roman"/>
          <w:sz w:val="20"/>
          <w:szCs w:val="20"/>
          <w:lang w:val="es-AR"/>
        </w:rPr>
        <w:t>Pabellón II - 2do. Piso</w:t>
      </w:r>
    </w:p>
    <w:p w:rsidR="00952920" w:rsidRPr="00366C8E" w:rsidRDefault="00952920" w:rsidP="00952920">
      <w:pPr>
        <w:pStyle w:val="LO-normal"/>
        <w:spacing w:line="360" w:lineRule="auto"/>
        <w:jc w:val="both"/>
        <w:rPr>
          <w:rFonts w:ascii="Times New Roman" w:eastAsia="Times New Roman" w:hAnsi="Times New Roman" w:cs="Times New Roman"/>
          <w:sz w:val="20"/>
          <w:szCs w:val="20"/>
          <w:lang w:val="es-AR"/>
        </w:rPr>
      </w:pPr>
      <w:r w:rsidRPr="00366C8E">
        <w:rPr>
          <w:rFonts w:ascii="Times New Roman" w:eastAsia="Times New Roman" w:hAnsi="Times New Roman" w:cs="Times New Roman"/>
          <w:sz w:val="20"/>
          <w:szCs w:val="20"/>
          <w:lang w:val="es-AR"/>
        </w:rPr>
        <w:t>(C1428EGA) Ciudad Autónoma de Buenos Aires - Argentina</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Phone: (+54) 11 4787 2693</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(+54) 11 4576 3300/09 Ext. 388</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Fax:     (+54) 11 4788 3572</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Email:  matias.dinapoli@cima.fcen.uba.ar</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center"/>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Submitted in revision to Natural Hazards and Earth System Sciences</w:t>
      </w:r>
    </w:p>
    <w:p w:rsidR="00952920" w:rsidRPr="00366C8E" w:rsidRDefault="00952920" w:rsidP="00952920">
      <w:pPr>
        <w:pStyle w:val="LO-normal"/>
        <w:spacing w:line="360" w:lineRule="auto"/>
        <w:jc w:val="center"/>
        <w:rPr>
          <w:rFonts w:ascii="Times New Roman" w:eastAsia="Times New Roman" w:hAnsi="Times New Roman" w:cs="Times New Roman"/>
          <w:sz w:val="20"/>
          <w:szCs w:val="20"/>
        </w:rPr>
      </w:pPr>
      <w:r w:rsidRPr="00366C8E">
        <w:rPr>
          <w:rFonts w:ascii="Times New Roman" w:eastAsia="Times New Roman" w:hAnsi="Times New Roman" w:cs="Times New Roman"/>
          <w:sz w:val="20"/>
          <w:szCs w:val="20"/>
        </w:rPr>
        <w:t>August 15</w:t>
      </w:r>
      <w:r w:rsidRPr="00366C8E">
        <w:rPr>
          <w:rFonts w:ascii="Times New Roman" w:eastAsia="Times New Roman" w:hAnsi="Times New Roman" w:cs="Times New Roman"/>
          <w:sz w:val="20"/>
          <w:szCs w:val="20"/>
          <w:vertAlign w:val="superscript"/>
        </w:rPr>
        <w:t>th</w:t>
      </w:r>
      <w:r w:rsidRPr="00366C8E">
        <w:rPr>
          <w:rFonts w:ascii="Times New Roman" w:eastAsia="Times New Roman" w:hAnsi="Times New Roman" w:cs="Times New Roman"/>
          <w:sz w:val="20"/>
          <w:szCs w:val="20"/>
        </w:rPr>
        <w:t>, 2017</w:t>
      </w: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b/>
          <w:sz w:val="20"/>
          <w:szCs w:val="20"/>
        </w:rPr>
      </w:pPr>
    </w:p>
    <w:p w:rsidR="00952920" w:rsidRPr="00366C8E" w:rsidRDefault="00952920" w:rsidP="00952920">
      <w:pPr>
        <w:spacing w:after="0" w:line="240" w:lineRule="auto"/>
        <w:ind w:firstLine="0"/>
        <w:rPr>
          <w:rFonts w:ascii="Times New Roman" w:eastAsia="Times New Roman" w:hAnsi="Times New Roman" w:cs="Times New Roman"/>
          <w:b/>
          <w:sz w:val="20"/>
          <w:szCs w:val="20"/>
        </w:rPr>
      </w:pPr>
      <w:r w:rsidRPr="00366C8E">
        <w:rPr>
          <w:rFonts w:ascii="Times New Roman" w:eastAsia="Times New Roman" w:hAnsi="Times New Roman" w:cs="Times New Roman"/>
          <w:b/>
          <w:sz w:val="20"/>
          <w:szCs w:val="20"/>
        </w:rPr>
        <w:br w:type="page"/>
      </w:r>
    </w:p>
    <w:p w:rsidR="00952920" w:rsidRDefault="00952920" w:rsidP="00952920">
      <w:pPr>
        <w:pStyle w:val="LO-normal"/>
        <w:spacing w:line="360" w:lineRule="auto"/>
        <w:jc w:val="both"/>
        <w:rPr>
          <w:rFonts w:ascii="Times New Roman" w:eastAsia="Times New Roman" w:hAnsi="Times New Roman" w:cs="Times New Roman"/>
          <w:b/>
          <w:sz w:val="20"/>
          <w:szCs w:val="20"/>
        </w:rPr>
        <w:sectPr w:rsidR="00952920" w:rsidSect="006D5153">
          <w:footerReference w:type="default" r:id="rId4"/>
          <w:pgSz w:w="11906" w:h="16838"/>
          <w:pgMar w:top="567" w:right="936" w:bottom="1338" w:left="936" w:header="0" w:footer="720" w:gutter="0"/>
          <w:pgNumType w:start="1"/>
          <w:cols w:space="720"/>
          <w:formProt w:val="0"/>
          <w:docGrid w:linePitch="299" w:charSpace="-2049"/>
        </w:sectPr>
      </w:pPr>
    </w:p>
    <w:p w:rsidR="00952920" w:rsidRDefault="00952920" w:rsidP="00952920">
      <w:pPr>
        <w:pStyle w:val="LO-normal"/>
        <w:spacing w:line="360" w:lineRule="auto"/>
        <w:jc w:val="both"/>
        <w:rPr>
          <w:rFonts w:ascii="Times New Roman" w:eastAsia="Times New Roman" w:hAnsi="Times New Roman" w:cs="Times New Roman"/>
          <w:b/>
          <w:sz w:val="20"/>
          <w:szCs w:val="20"/>
        </w:rPr>
      </w:pPr>
      <w:r w:rsidRPr="00366C8E">
        <w:rPr>
          <w:rFonts w:ascii="Times New Roman" w:eastAsia="Times New Roman" w:hAnsi="Times New Roman" w:cs="Times New Roman"/>
          <w:b/>
          <w:sz w:val="20"/>
          <w:szCs w:val="20"/>
        </w:rPr>
        <w:lastRenderedPageBreak/>
        <w:t>Abstract</w:t>
      </w:r>
    </w:p>
    <w:p w:rsidR="00952920" w:rsidRPr="00366C8E" w:rsidRDefault="00952920" w:rsidP="00952920">
      <w:pPr>
        <w:pStyle w:val="LO-normal"/>
        <w:spacing w:line="360" w:lineRule="auto"/>
        <w:jc w:val="both"/>
        <w:rPr>
          <w:rFonts w:ascii="Times New Roman" w:eastAsia="Times New Roman" w:hAnsi="Times New Roman" w:cs="Times New Roman"/>
          <w:b/>
          <w:sz w:val="20"/>
          <w:szCs w:val="20"/>
        </w:rPr>
      </w:pPr>
    </w:p>
    <w:p w:rsidR="00952920" w:rsidRPr="00366C8E" w:rsidRDefault="00952920" w:rsidP="00952920">
      <w:pPr>
        <w:pStyle w:val="LO-normal"/>
        <w:spacing w:line="360" w:lineRule="auto"/>
        <w:jc w:val="both"/>
        <w:rPr>
          <w:rFonts w:ascii="Times New Roman" w:eastAsia="Times New Roman" w:hAnsi="Times New Roman" w:cs="Times New Roman"/>
          <w:sz w:val="20"/>
          <w:szCs w:val="20"/>
        </w:rPr>
      </w:pPr>
      <w:bookmarkStart w:id="0" w:name="__DdeLink__2236_100294706"/>
      <w:r w:rsidRPr="00366C8E">
        <w:rPr>
          <w:rFonts w:ascii="Times New Roman" w:eastAsia="Times New Roman" w:hAnsi="Times New Roman" w:cs="Times New Roman"/>
          <w:sz w:val="20"/>
          <w:szCs w:val="20"/>
        </w:rPr>
        <w:t>The mighty Río de la Plata (</w:t>
      </w:r>
      <w:proofErr w:type="spellStart"/>
      <w:r w:rsidRPr="00366C8E">
        <w:rPr>
          <w:rFonts w:ascii="Times New Roman" w:eastAsia="Times New Roman" w:hAnsi="Times New Roman" w:cs="Times New Roman"/>
          <w:sz w:val="20"/>
          <w:szCs w:val="20"/>
        </w:rPr>
        <w:t>RdP</w:t>
      </w:r>
      <w:proofErr w:type="spellEnd"/>
      <w:r w:rsidRPr="00366C8E">
        <w:rPr>
          <w:rFonts w:ascii="Times New Roman" w:eastAsia="Times New Roman" w:hAnsi="Times New Roman" w:cs="Times New Roman"/>
          <w:sz w:val="20"/>
          <w:szCs w:val="20"/>
        </w:rPr>
        <w:t>) estuary is affected by extreme storm surges generated by persistent and strong south-easterly winds called “</w:t>
      </w:r>
      <w:proofErr w:type="spellStart"/>
      <w:r w:rsidRPr="00366C8E">
        <w:rPr>
          <w:rFonts w:ascii="Times New Roman" w:eastAsia="Times New Roman" w:hAnsi="Times New Roman" w:cs="Times New Roman"/>
          <w:sz w:val="20"/>
          <w:szCs w:val="20"/>
        </w:rPr>
        <w:t>Sudestadas</w:t>
      </w:r>
      <w:proofErr w:type="spellEnd"/>
      <w:r w:rsidRPr="00366C8E">
        <w:rPr>
          <w:rFonts w:ascii="Times New Roman" w:eastAsia="Times New Roman" w:hAnsi="Times New Roman" w:cs="Times New Roman"/>
          <w:sz w:val="20"/>
          <w:szCs w:val="20"/>
        </w:rPr>
        <w:t xml:space="preserve">”, which produce strong floods in densely populated areas of Argentina. Atmospheric models show deficiencies in the forecast of winds during those events what rises up the question of how sensitive model solutions are to wind uncertainties. Here a sensitivity analysis (SA) for a 2-D </w:t>
      </w:r>
      <w:proofErr w:type="spellStart"/>
      <w:r w:rsidRPr="00366C8E">
        <w:rPr>
          <w:rFonts w:ascii="Times New Roman" w:eastAsia="Times New Roman" w:hAnsi="Times New Roman" w:cs="Times New Roman"/>
          <w:sz w:val="20"/>
          <w:szCs w:val="20"/>
        </w:rPr>
        <w:t>barotropic</w:t>
      </w:r>
      <w:proofErr w:type="spellEnd"/>
      <w:r w:rsidRPr="00366C8E">
        <w:rPr>
          <w:rFonts w:ascii="Times New Roman" w:eastAsia="Times New Roman" w:hAnsi="Times New Roman" w:cs="Times New Roman"/>
          <w:sz w:val="20"/>
          <w:szCs w:val="20"/>
        </w:rPr>
        <w:t xml:space="preserve"> application of ROMS_AGRIF ocean model for the forecast of sea surface height (SSH) at the South-Western South Atlantic Continental Shelf with emphasis on the </w:t>
      </w:r>
      <w:proofErr w:type="spellStart"/>
      <w:r w:rsidRPr="00366C8E">
        <w:rPr>
          <w:rFonts w:ascii="Times New Roman" w:eastAsia="Times New Roman" w:hAnsi="Times New Roman" w:cs="Times New Roman"/>
          <w:sz w:val="20"/>
          <w:szCs w:val="20"/>
        </w:rPr>
        <w:t>RdP</w:t>
      </w:r>
      <w:proofErr w:type="spellEnd"/>
      <w:r w:rsidRPr="00366C8E">
        <w:rPr>
          <w:rFonts w:ascii="Times New Roman" w:eastAsia="Times New Roman" w:hAnsi="Times New Roman" w:cs="Times New Roman"/>
          <w:sz w:val="20"/>
          <w:szCs w:val="20"/>
        </w:rPr>
        <w:t xml:space="preserve"> estuary is presented. The SA was performed taking account the linear and quadratic bottom friction coefficients, the wind speed and direction, and the continental discharge. Results indicate that the estuary response is very sensitive and nonlinear to even small changes in wind speed, and moderately sensitive to changes in the runoff. A study of nonlinear interactions between the surge, the tide and the continental discharge shows that those interactions are strong, producing reductions of around 10% in the total SSH. 90% of that interaction is explained by the tide-surge interaction. The main effect of large increments in the runoff is an increment in the setup, but also the associated augment of the mean outflow currents produces notorious </w:t>
      </w:r>
      <w:bookmarkEnd w:id="0"/>
      <w:r w:rsidRPr="00366C8E">
        <w:rPr>
          <w:rFonts w:ascii="Times New Roman" w:eastAsia="Times New Roman" w:hAnsi="Times New Roman" w:cs="Times New Roman"/>
          <w:sz w:val="20"/>
          <w:szCs w:val="20"/>
        </w:rPr>
        <w:t xml:space="preserve">deformations in the storm surge and tides. It is concluded that the inclusion of both the tide and the runoff are indispensable for an appropriate prediction of the </w:t>
      </w:r>
      <w:r>
        <w:rPr>
          <w:rFonts w:ascii="Times New Roman" w:eastAsia="Times New Roman" w:hAnsi="Times New Roman" w:cs="Times New Roman"/>
          <w:sz w:val="20"/>
          <w:szCs w:val="20"/>
        </w:rPr>
        <w:t>SSH</w:t>
      </w:r>
      <w:r w:rsidRPr="00366C8E">
        <w:rPr>
          <w:rFonts w:ascii="Times New Roman" w:eastAsia="Times New Roman" w:hAnsi="Times New Roman" w:cs="Times New Roman"/>
          <w:sz w:val="20"/>
          <w:szCs w:val="20"/>
        </w:rPr>
        <w:t xml:space="preserve"> in the upper and intermediate </w:t>
      </w:r>
      <w:proofErr w:type="spellStart"/>
      <w:r w:rsidRPr="00366C8E">
        <w:rPr>
          <w:rFonts w:ascii="Times New Roman" w:eastAsia="Times New Roman" w:hAnsi="Times New Roman" w:cs="Times New Roman"/>
          <w:sz w:val="20"/>
          <w:szCs w:val="20"/>
        </w:rPr>
        <w:t>RdP</w:t>
      </w:r>
      <w:proofErr w:type="spellEnd"/>
      <w:r w:rsidRPr="00366C8E">
        <w:rPr>
          <w:rFonts w:ascii="Times New Roman" w:eastAsia="Times New Roman" w:hAnsi="Times New Roman" w:cs="Times New Roman"/>
          <w:sz w:val="20"/>
          <w:szCs w:val="20"/>
        </w:rPr>
        <w:t>.</w:t>
      </w:r>
    </w:p>
    <w:p w:rsidR="00952920" w:rsidRPr="00366C8E" w:rsidRDefault="00952920" w:rsidP="00952920">
      <w:pPr>
        <w:pStyle w:val="LO-normal"/>
        <w:spacing w:line="360" w:lineRule="auto"/>
        <w:jc w:val="both"/>
        <w:rPr>
          <w:rFonts w:ascii="Times New Roman" w:hAnsi="Times New Roman" w:cs="Times New Roman"/>
        </w:rPr>
      </w:pPr>
    </w:p>
    <w:p w:rsidR="00952920" w:rsidRPr="00366C8E" w:rsidRDefault="00952920" w:rsidP="00952920">
      <w:pPr>
        <w:pStyle w:val="LO-normal"/>
        <w:spacing w:line="360" w:lineRule="auto"/>
        <w:jc w:val="both"/>
        <w:rPr>
          <w:rFonts w:ascii="Times New Roman" w:eastAsia="Times New Roman" w:hAnsi="Times New Roman" w:cs="Times New Roman"/>
          <w:b/>
          <w:sz w:val="20"/>
          <w:szCs w:val="20"/>
        </w:rPr>
      </w:pPr>
    </w:p>
    <w:p w:rsidR="0037088D" w:rsidRDefault="0037088D"/>
    <w:sectPr w:rsidR="0037088D" w:rsidSect="00952920">
      <w:pgSz w:w="11906" w:h="16838"/>
      <w:pgMar w:top="567" w:right="936" w:bottom="1338" w:left="93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00" w:rsidRDefault="00952920">
    <w:pPr>
      <w:pStyle w:val="LO-normal"/>
      <w:tabs>
        <w:tab w:val="center" w:pos="4252"/>
        <w:tab w:val="right" w:pos="8504"/>
      </w:tabs>
      <w:jc w:val="center"/>
    </w:pPr>
    <w:r>
      <w:fldChar w:fldCharType="begin"/>
    </w:r>
    <w:r>
      <w:instrText>PAGE</w:instrText>
    </w:r>
    <w:r>
      <w:fldChar w:fldCharType="separate"/>
    </w:r>
    <w:r>
      <w:rPr>
        <w:noProof/>
      </w:rPr>
      <w:t>1</w:t>
    </w:r>
    <w:r>
      <w:fldChar w:fldCharType="end"/>
    </w:r>
  </w:p>
  <w:p w:rsidR="00305500" w:rsidRDefault="00952920">
    <w:pPr>
      <w:pStyle w:val="LO-normal"/>
      <w:tabs>
        <w:tab w:val="center" w:pos="4252"/>
        <w:tab w:val="right" w:pos="8504"/>
      </w:tabs>
      <w:spacing w:after="708"/>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952920"/>
    <w:rsid w:val="0037088D"/>
    <w:rsid w:val="0095292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920"/>
    <w:pPr>
      <w:spacing w:line="360" w:lineRule="auto"/>
      <w:ind w:firstLine="709"/>
    </w:pPr>
    <w:rPr>
      <w:rFonts w:ascii="Calibri" w:eastAsia="Calibri" w:hAnsi="Calibri" w:cs="Calibri"/>
      <w:color w:val="000000"/>
      <w:lang w:val="en-GB"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qFormat/>
    <w:rsid w:val="00952920"/>
    <w:pPr>
      <w:keepNext/>
      <w:keepLines/>
      <w:widowControl w:val="0"/>
      <w:spacing w:before="480" w:after="0" w:line="240" w:lineRule="auto"/>
      <w:outlineLvl w:val="0"/>
    </w:pPr>
    <w:rPr>
      <w:rFonts w:ascii="Cambria" w:eastAsia="Cambria" w:hAnsi="Cambria" w:cs="Cambria"/>
      <w:b/>
      <w:color w:val="365F91"/>
      <w:sz w:val="28"/>
      <w:szCs w:val="28"/>
      <w:lang w:val="en-GB" w:eastAsia="es-ES"/>
    </w:rPr>
  </w:style>
  <w:style w:type="paragraph" w:customStyle="1" w:styleId="LO-normal">
    <w:name w:val="LO-normal"/>
    <w:qFormat/>
    <w:rsid w:val="00952920"/>
    <w:pPr>
      <w:spacing w:after="0" w:line="240" w:lineRule="auto"/>
    </w:pPr>
    <w:rPr>
      <w:rFonts w:ascii="Calibri" w:eastAsia="Calibri" w:hAnsi="Calibri" w:cs="Calibri"/>
      <w:color w:val="000000"/>
      <w:lang w:val="en-GB"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2085</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MATIAS</dc:creator>
  <cp:lastModifiedBy>MATIAS</cp:lastModifiedBy>
  <cp:revision>1</cp:revision>
  <dcterms:created xsi:type="dcterms:W3CDTF">2017-08-15T00:56:00Z</dcterms:created>
  <dcterms:modified xsi:type="dcterms:W3CDTF">2017-08-15T00:58:00Z</dcterms:modified>
</cp:coreProperties>
</file>